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21 175 vom 31. August 2021</w:t>
      </w:r>
    </w:p>
    <w:p>
      <w:r>
        <w:t>VS Kantonsgericht, 2021-08-31, FR</w:t>
      </w:r>
    </w:p>
    <w:p>
      <w:r>
        <w:rPr>
          <w:b/>
        </w:rPr>
        <w:t xml:space="preserve">Quelle: </w:t>
      </w:r>
      <w:r>
        <w:t>https://mcp.opencaselaw.ch/entscheid/vs_gerichte_A1 21 175</w:t>
      </w:r>
    </w:p>
    <w:p>
      <w:r>
        <w:t>FR: VS_GERICHTE A1 21 175 du 31 août 2021</w:t>
      </w:r>
    </w:p>
    <w:p>
      <w:r>
        <w:t>IT: VS_GERICHTE A1 21 175 del 31 agosto 2021</w:t>
      </w:r>
    </w:p>
    <w:p>
      <w:pPr>
        <w:pStyle w:val="Heading2"/>
      </w:pPr>
      <w:r>
        <w:t>Regeste</w:t>
      </w:r>
    </w:p>
    <w:p>
      <w:r>
        <w:t>A1 21 175 ARRÊT DU 31 AOÛT 2021 Tribunal cantonal du Valais Cour de droit public Composition : Christophe Joris, président ; Jean-Bernard Fournier et Thomas Brunner, juges ; Ferdinand Vanay, greffier en la cause COMMUNE DE A _________, COMMUNE DE B _________, COMMUNE DE C _________, COMMUNE DE D _________,COMMUNE DE E _________, COMMUNE DE F _________, recourantes, toutes représentées par Maître M _________, contre CONSEIL D’ÉTAT DU CANTON DU VALAIS, 1951 Sion, autorité attaquée, et CHEMINS DE FER FÉDÉRAUX SUISSES CFF, 3014 Berne, tiers concerné, représenté par Maître N _________ (frais et dépens) recours de droit administratif contre la décision du 21 juin 2017</w:t>
      </w:r>
    </w:p>
    <w:p>
      <w:pPr>
        <w:pStyle w:val="Heading2"/>
      </w:pPr>
      <w:r>
        <w:t>Erwägungen</w:t>
      </w:r>
    </w:p>
    <w:p>
      <w:r>
        <w:rPr>
          <w:b/>
        </w:rPr>
        <w:t>E. 25</w:t>
      </w:r>
    </w:p>
    <w:p>
      <w:r>
        <w:t>février 2020, renvoyer à celle déposée en la cause A1 19 230 et par laquelle ils retiraient toutes leurs conclusions sur le fond. Ils doivent par conséquent être remis. Aucun dépens n’est accordé aux communes recourantes, dès lors qu’elles obtiennent gain de cause en tant qu’autorités chargées de tâches de droit public (art. 91 al. 3 LPJA). D. Le présent arrêt est rendu sans frais (art. 89 al. 2 et 91 LPJA).</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